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C10" w:rsidRPr="00FB1C10" w:rsidRDefault="00DF35E1" w:rsidP="00FB1C10">
      <w:pPr>
        <w:jc w:val="center"/>
        <w:rPr>
          <w:b/>
          <w:sz w:val="24"/>
          <w:szCs w:val="24"/>
        </w:rPr>
      </w:pPr>
      <w:r>
        <w:rPr>
          <w:b/>
          <w:sz w:val="24"/>
          <w:szCs w:val="24"/>
        </w:rPr>
        <w:t>CONVOCATORIA DE OPOSICIONES Y PROFESORADO INTERINO</w:t>
      </w:r>
    </w:p>
    <w:p w:rsidR="00FB1C10" w:rsidRPr="00FB1C10" w:rsidRDefault="00FB1C10" w:rsidP="00FB1C10">
      <w:pPr>
        <w:widowControl w:val="0"/>
        <w:tabs>
          <w:tab w:val="left" w:pos="360"/>
          <w:tab w:val="left" w:pos="720"/>
        </w:tabs>
        <w:autoSpaceDE w:val="0"/>
        <w:autoSpaceDN w:val="0"/>
        <w:adjustRightInd w:val="0"/>
        <w:jc w:val="both"/>
        <w:rPr>
          <w:rFonts w:ascii="Calibri" w:hAnsi="Calibri"/>
          <w:sz w:val="24"/>
          <w:szCs w:val="24"/>
        </w:rPr>
      </w:pPr>
    </w:p>
    <w:p w:rsidR="00FB1C10" w:rsidRDefault="00FB1C10" w:rsidP="00FB1C10">
      <w:pPr>
        <w:widowControl w:val="0"/>
        <w:tabs>
          <w:tab w:val="left" w:pos="360"/>
          <w:tab w:val="left" w:pos="720"/>
        </w:tabs>
        <w:autoSpaceDE w:val="0"/>
        <w:autoSpaceDN w:val="0"/>
        <w:adjustRightInd w:val="0"/>
        <w:jc w:val="both"/>
        <w:rPr>
          <w:rFonts w:ascii="Calibri" w:hAnsi="Calibri"/>
          <w:sz w:val="22"/>
          <w:szCs w:val="22"/>
        </w:rPr>
      </w:pPr>
      <w:r>
        <w:rPr>
          <w:rFonts w:ascii="Calibri" w:hAnsi="Calibri"/>
          <w:sz w:val="22"/>
          <w:szCs w:val="22"/>
        </w:rPr>
        <w:t>La tasa de profesorado interino se ha incrementado durante los últimos años en Asturias, hasta el punto de que supone ya más de un 30% de la plantilla docente. La causa de esta elevada tasa de interinidad está en que las ofertas de empleo docente han sido muy escasas en Asturias. Incluso en el periodo 2007-2011 en que estuvo en vigor el sistema de acceso transitorio, y que en otros territorios sirvió para hacer convocatorias de oposiciones masivas, en Asturias se ofertaron escasas plazas,  exiguas, especialmente insuficientes en Secundaria e incluso inexistentes en muchas especialidades.</w:t>
      </w:r>
    </w:p>
    <w:p w:rsidR="00FB1C10" w:rsidRDefault="00FB1C10" w:rsidP="00FB1C10">
      <w:pPr>
        <w:widowControl w:val="0"/>
        <w:tabs>
          <w:tab w:val="left" w:pos="360"/>
          <w:tab w:val="left" w:pos="720"/>
        </w:tabs>
        <w:autoSpaceDE w:val="0"/>
        <w:autoSpaceDN w:val="0"/>
        <w:adjustRightInd w:val="0"/>
        <w:jc w:val="both"/>
        <w:rPr>
          <w:rFonts w:ascii="Calibri" w:hAnsi="Calibri"/>
          <w:sz w:val="22"/>
          <w:szCs w:val="22"/>
        </w:rPr>
      </w:pPr>
    </w:p>
    <w:p w:rsidR="00FB1C10" w:rsidRDefault="00FB1C10" w:rsidP="00FB1C10">
      <w:pPr>
        <w:widowControl w:val="0"/>
        <w:tabs>
          <w:tab w:val="left" w:pos="360"/>
          <w:tab w:val="left" w:pos="720"/>
        </w:tabs>
        <w:autoSpaceDE w:val="0"/>
        <w:autoSpaceDN w:val="0"/>
        <w:adjustRightInd w:val="0"/>
        <w:jc w:val="both"/>
        <w:rPr>
          <w:rFonts w:ascii="Calibri" w:hAnsi="Calibri"/>
          <w:sz w:val="22"/>
          <w:szCs w:val="22"/>
        </w:rPr>
      </w:pPr>
      <w:r>
        <w:rPr>
          <w:rFonts w:ascii="Calibri" w:hAnsi="Calibri"/>
          <w:sz w:val="22"/>
          <w:szCs w:val="22"/>
        </w:rPr>
        <w:t xml:space="preserve">Parece, por tanto, que sería necesario reducir la tasa de profesorado interino a través de la convocatoria de oposiciones que consigan reducir esta alta tasa de interinidad. Ahora bien, desde SUATEA queremos plantear las dudas que nos genera esta convocatoria: </w:t>
      </w:r>
    </w:p>
    <w:p w:rsidR="00FB1C10" w:rsidRDefault="00FB1C10" w:rsidP="00FB1C10">
      <w:pPr>
        <w:widowControl w:val="0"/>
        <w:tabs>
          <w:tab w:val="left" w:pos="360"/>
          <w:tab w:val="left" w:pos="720"/>
        </w:tabs>
        <w:autoSpaceDE w:val="0"/>
        <w:autoSpaceDN w:val="0"/>
        <w:adjustRightInd w:val="0"/>
        <w:jc w:val="both"/>
        <w:rPr>
          <w:rFonts w:ascii="Calibri" w:hAnsi="Calibri"/>
          <w:sz w:val="22"/>
          <w:szCs w:val="22"/>
        </w:rPr>
      </w:pPr>
    </w:p>
    <w:p w:rsidR="00FB1C10" w:rsidRDefault="00FB1C10" w:rsidP="00FB1C10">
      <w:pPr>
        <w:widowControl w:val="0"/>
        <w:numPr>
          <w:ilvl w:val="0"/>
          <w:numId w:val="3"/>
        </w:numPr>
        <w:tabs>
          <w:tab w:val="left" w:pos="360"/>
          <w:tab w:val="left" w:pos="720"/>
        </w:tabs>
        <w:suppressAutoHyphens w:val="0"/>
        <w:autoSpaceDE w:val="0"/>
        <w:autoSpaceDN w:val="0"/>
        <w:adjustRightInd w:val="0"/>
        <w:jc w:val="both"/>
        <w:rPr>
          <w:rFonts w:ascii="Calibri" w:hAnsi="Calibri"/>
          <w:sz w:val="22"/>
          <w:szCs w:val="22"/>
        </w:rPr>
      </w:pPr>
      <w:r>
        <w:rPr>
          <w:rFonts w:ascii="Calibri" w:hAnsi="Calibri"/>
          <w:sz w:val="22"/>
          <w:szCs w:val="22"/>
        </w:rPr>
        <w:t xml:space="preserve">El Acuerdo de profesorado interino actualmente en vigor vincula el proceso selectivo y las listas, que son reconstruidas y </w:t>
      </w:r>
      <w:proofErr w:type="spellStart"/>
      <w:r>
        <w:rPr>
          <w:rFonts w:ascii="Calibri" w:hAnsi="Calibri"/>
          <w:sz w:val="22"/>
          <w:szCs w:val="22"/>
        </w:rPr>
        <w:t>rebaremadas</w:t>
      </w:r>
      <w:proofErr w:type="spellEnd"/>
      <w:r>
        <w:rPr>
          <w:rFonts w:ascii="Calibri" w:hAnsi="Calibri"/>
          <w:sz w:val="22"/>
          <w:szCs w:val="22"/>
        </w:rPr>
        <w:t xml:space="preserve"> después de cada proceso. Además, es un Acuerdo que supone la rotación permanente en el empleo y que no ofrece ninguna estabilidad al colectivo.  </w:t>
      </w:r>
    </w:p>
    <w:p w:rsidR="00FB1C10" w:rsidRDefault="00FB1C10" w:rsidP="00FB1C10">
      <w:pPr>
        <w:widowControl w:val="0"/>
        <w:numPr>
          <w:ilvl w:val="0"/>
          <w:numId w:val="3"/>
        </w:numPr>
        <w:tabs>
          <w:tab w:val="left" w:pos="360"/>
          <w:tab w:val="left" w:pos="720"/>
        </w:tabs>
        <w:suppressAutoHyphens w:val="0"/>
        <w:autoSpaceDE w:val="0"/>
        <w:autoSpaceDN w:val="0"/>
        <w:adjustRightInd w:val="0"/>
        <w:jc w:val="both"/>
        <w:rPr>
          <w:rFonts w:ascii="Calibri" w:hAnsi="Calibri"/>
          <w:sz w:val="22"/>
          <w:szCs w:val="22"/>
        </w:rPr>
      </w:pPr>
      <w:r>
        <w:rPr>
          <w:rFonts w:ascii="Calibri" w:hAnsi="Calibri"/>
          <w:sz w:val="22"/>
          <w:szCs w:val="22"/>
        </w:rPr>
        <w:t xml:space="preserve">El actual sistema de acceso a la función pública docente es perjudicial para el profesorado interino, ya que la fase de oposición tiene partes eliminatorias y la valoración de la práctica docente tiene lugar al final del proceso. Además, en la fase de concurso, la experiencia docente computa hasta un máximo de cinco años, lo cual penaliza y desprecia la experiencia acumulada por muchos interinos. </w:t>
      </w:r>
    </w:p>
    <w:p w:rsidR="00FB1C10" w:rsidRDefault="00FB1C10" w:rsidP="00FB1C10">
      <w:pPr>
        <w:widowControl w:val="0"/>
        <w:tabs>
          <w:tab w:val="left" w:pos="360"/>
          <w:tab w:val="left" w:pos="720"/>
        </w:tabs>
        <w:autoSpaceDE w:val="0"/>
        <w:autoSpaceDN w:val="0"/>
        <w:adjustRightInd w:val="0"/>
        <w:jc w:val="both"/>
        <w:rPr>
          <w:rFonts w:ascii="Calibri" w:hAnsi="Calibri"/>
          <w:sz w:val="22"/>
          <w:szCs w:val="22"/>
        </w:rPr>
      </w:pPr>
    </w:p>
    <w:p w:rsidR="00FB1C10" w:rsidRDefault="00FB1C10" w:rsidP="00FB1C10">
      <w:pPr>
        <w:widowControl w:val="0"/>
        <w:tabs>
          <w:tab w:val="left" w:pos="360"/>
          <w:tab w:val="left" w:pos="720"/>
        </w:tabs>
        <w:autoSpaceDE w:val="0"/>
        <w:autoSpaceDN w:val="0"/>
        <w:adjustRightInd w:val="0"/>
        <w:jc w:val="both"/>
        <w:rPr>
          <w:rFonts w:ascii="Calibri" w:hAnsi="Calibri"/>
          <w:sz w:val="22"/>
          <w:szCs w:val="22"/>
        </w:rPr>
      </w:pPr>
      <w:r>
        <w:rPr>
          <w:rFonts w:ascii="Calibri" w:hAnsi="Calibri"/>
          <w:sz w:val="22"/>
          <w:szCs w:val="22"/>
        </w:rPr>
        <w:t xml:space="preserve">Es por esto que, desde SUATEA, consideramos que deben ir ligadas la convocatoria de oposiciones y la negociación de un nuevo Acuerdo de profesorado interino que otorgue estabilidad a quienes, acreditando experiencia docente, no obtengan plaza, pues, de lo contrario, habrá muchos interinos despedidos. </w:t>
      </w:r>
    </w:p>
    <w:p w:rsidR="00FB1C10" w:rsidRDefault="00FB1C10" w:rsidP="00FB1C10">
      <w:pPr>
        <w:widowControl w:val="0"/>
        <w:tabs>
          <w:tab w:val="left" w:pos="360"/>
          <w:tab w:val="left" w:pos="720"/>
        </w:tabs>
        <w:autoSpaceDE w:val="0"/>
        <w:autoSpaceDN w:val="0"/>
        <w:adjustRightInd w:val="0"/>
        <w:jc w:val="both"/>
        <w:rPr>
          <w:rFonts w:ascii="Calibri" w:hAnsi="Calibri"/>
          <w:sz w:val="22"/>
          <w:szCs w:val="22"/>
        </w:rPr>
      </w:pPr>
    </w:p>
    <w:p w:rsidR="00FB1C10" w:rsidRPr="003A3CCF" w:rsidRDefault="00FB1C10" w:rsidP="00FB1C10">
      <w:pPr>
        <w:widowControl w:val="0"/>
        <w:tabs>
          <w:tab w:val="left" w:pos="360"/>
          <w:tab w:val="left" w:pos="720"/>
        </w:tabs>
        <w:autoSpaceDE w:val="0"/>
        <w:autoSpaceDN w:val="0"/>
        <w:adjustRightInd w:val="0"/>
        <w:jc w:val="both"/>
        <w:rPr>
          <w:rFonts w:ascii="Calibri" w:hAnsi="Calibri"/>
          <w:sz w:val="22"/>
          <w:szCs w:val="22"/>
        </w:rPr>
      </w:pPr>
      <w:r>
        <w:rPr>
          <w:rFonts w:ascii="Calibri" w:hAnsi="Calibri"/>
          <w:sz w:val="22"/>
          <w:szCs w:val="22"/>
        </w:rPr>
        <w:t>La regulaci</w:t>
      </w:r>
      <w:r w:rsidRPr="003A3CCF">
        <w:rPr>
          <w:rFonts w:ascii="Calibri" w:hAnsi="Calibri"/>
          <w:sz w:val="22"/>
          <w:szCs w:val="22"/>
        </w:rPr>
        <w:t>ón de las listas del profesorado interino h</w:t>
      </w:r>
      <w:r>
        <w:rPr>
          <w:rFonts w:ascii="Calibri" w:hAnsi="Calibri"/>
          <w:sz w:val="22"/>
          <w:szCs w:val="22"/>
        </w:rPr>
        <w:t>a sufrido variaciones en las tres últimas décadas y ha pasado de regularse únicamente por la experiencia acumulada hasta que, a mediados de los noventa</w:t>
      </w:r>
      <w:r w:rsidRPr="003A3CCF">
        <w:rPr>
          <w:rFonts w:ascii="Calibri" w:hAnsi="Calibri"/>
          <w:sz w:val="22"/>
          <w:szCs w:val="22"/>
        </w:rPr>
        <w:t xml:space="preserve">, </w:t>
      </w:r>
      <w:r>
        <w:rPr>
          <w:rFonts w:ascii="Calibri" w:hAnsi="Calibri"/>
          <w:sz w:val="22"/>
          <w:szCs w:val="22"/>
        </w:rPr>
        <w:t>empe</w:t>
      </w:r>
      <w:r w:rsidRPr="003A3CCF">
        <w:rPr>
          <w:rFonts w:ascii="Calibri" w:hAnsi="Calibri"/>
          <w:sz w:val="22"/>
          <w:szCs w:val="22"/>
        </w:rPr>
        <w:t>zaron a incorporarse otros criterios, como la nota obtenida en las oposiciones</w:t>
      </w:r>
      <w:r>
        <w:rPr>
          <w:rFonts w:ascii="Calibri" w:hAnsi="Calibri"/>
          <w:sz w:val="22"/>
          <w:szCs w:val="22"/>
        </w:rPr>
        <w:t xml:space="preserve">. </w:t>
      </w:r>
    </w:p>
    <w:p w:rsidR="00FB1C10" w:rsidRPr="003A3CCF" w:rsidRDefault="00FB1C10" w:rsidP="00FB1C10">
      <w:pPr>
        <w:widowControl w:val="0"/>
        <w:tabs>
          <w:tab w:val="left" w:pos="360"/>
          <w:tab w:val="left" w:pos="720"/>
        </w:tabs>
        <w:autoSpaceDE w:val="0"/>
        <w:autoSpaceDN w:val="0"/>
        <w:adjustRightInd w:val="0"/>
        <w:jc w:val="both"/>
        <w:rPr>
          <w:rFonts w:ascii="Calibri" w:hAnsi="Calibri"/>
          <w:sz w:val="22"/>
          <w:szCs w:val="22"/>
        </w:rPr>
      </w:pPr>
    </w:p>
    <w:p w:rsidR="00FB1C10" w:rsidRDefault="00FB1C10" w:rsidP="00FB1C10">
      <w:pPr>
        <w:widowControl w:val="0"/>
        <w:tabs>
          <w:tab w:val="left" w:pos="360"/>
          <w:tab w:val="left" w:pos="720"/>
        </w:tabs>
        <w:autoSpaceDE w:val="0"/>
        <w:autoSpaceDN w:val="0"/>
        <w:adjustRightInd w:val="0"/>
        <w:jc w:val="both"/>
        <w:rPr>
          <w:rFonts w:ascii="Calibri" w:hAnsi="Calibri"/>
          <w:sz w:val="22"/>
          <w:szCs w:val="22"/>
        </w:rPr>
      </w:pPr>
      <w:r w:rsidRPr="003A3CCF">
        <w:rPr>
          <w:rFonts w:ascii="Calibri" w:hAnsi="Calibri"/>
          <w:sz w:val="22"/>
          <w:szCs w:val="22"/>
        </w:rPr>
        <w:t xml:space="preserve">Con la asunción de competencias en torno al año 2000, la mayoría de las CCAA empezaron a organizar su propio sistema de formación de listas y regulación del empleo interino. De ahí surgieron </w:t>
      </w:r>
      <w:r>
        <w:rPr>
          <w:rFonts w:ascii="Calibri" w:hAnsi="Calibri"/>
          <w:sz w:val="22"/>
          <w:szCs w:val="22"/>
        </w:rPr>
        <w:t xml:space="preserve">las </w:t>
      </w:r>
      <w:r w:rsidRPr="003A3CCF">
        <w:rPr>
          <w:rFonts w:ascii="Calibri" w:hAnsi="Calibri"/>
          <w:sz w:val="22"/>
          <w:szCs w:val="22"/>
        </w:rPr>
        <w:t>diferencias: unas Comunidades apostaron por</w:t>
      </w:r>
      <w:r>
        <w:rPr>
          <w:rFonts w:ascii="Calibri" w:hAnsi="Calibri"/>
          <w:sz w:val="22"/>
          <w:szCs w:val="22"/>
        </w:rPr>
        <w:t xml:space="preserve"> dar una cierta</w:t>
      </w:r>
      <w:r w:rsidRPr="003A3CCF">
        <w:rPr>
          <w:rFonts w:ascii="Calibri" w:hAnsi="Calibri"/>
          <w:sz w:val="22"/>
          <w:szCs w:val="22"/>
        </w:rPr>
        <w:t xml:space="preserve"> estabilidad al colectivo</w:t>
      </w:r>
      <w:r>
        <w:rPr>
          <w:rFonts w:ascii="Calibri" w:hAnsi="Calibri"/>
          <w:sz w:val="22"/>
          <w:szCs w:val="22"/>
        </w:rPr>
        <w:t xml:space="preserve"> de interinos</w:t>
      </w:r>
      <w:r w:rsidRPr="003A3CCF">
        <w:rPr>
          <w:rFonts w:ascii="Calibri" w:hAnsi="Calibri"/>
          <w:sz w:val="22"/>
          <w:szCs w:val="22"/>
        </w:rPr>
        <w:t xml:space="preserve"> teniendo en cuenta únicamente o prefere</w:t>
      </w:r>
      <w:r>
        <w:rPr>
          <w:rFonts w:ascii="Calibri" w:hAnsi="Calibri"/>
          <w:sz w:val="22"/>
          <w:szCs w:val="22"/>
        </w:rPr>
        <w:t>ntemente la experiencia docente</w:t>
      </w:r>
      <w:r w:rsidRPr="003A3CCF">
        <w:rPr>
          <w:rFonts w:ascii="Calibri" w:hAnsi="Calibri"/>
          <w:sz w:val="22"/>
          <w:szCs w:val="22"/>
        </w:rPr>
        <w:t xml:space="preserve"> como criterio de elabor</w:t>
      </w:r>
      <w:r>
        <w:rPr>
          <w:rFonts w:ascii="Calibri" w:hAnsi="Calibri"/>
          <w:sz w:val="22"/>
          <w:szCs w:val="22"/>
        </w:rPr>
        <w:t>ación de las listas</w:t>
      </w:r>
      <w:r w:rsidRPr="003A3CCF">
        <w:rPr>
          <w:rFonts w:ascii="Calibri" w:hAnsi="Calibri"/>
          <w:sz w:val="22"/>
          <w:szCs w:val="22"/>
        </w:rPr>
        <w:t xml:space="preserve"> (Andalucía, País vasco, Valencia, Galicia, Cataluña y Baleares); sin embargo, otras incorporaron </w:t>
      </w:r>
      <w:r>
        <w:rPr>
          <w:rFonts w:ascii="Calibri" w:hAnsi="Calibri"/>
          <w:sz w:val="22"/>
          <w:szCs w:val="22"/>
        </w:rPr>
        <w:t xml:space="preserve">e hicieron </w:t>
      </w:r>
      <w:r>
        <w:rPr>
          <w:rFonts w:ascii="Calibri" w:hAnsi="Calibri" w:hint="eastAsia"/>
          <w:sz w:val="22"/>
          <w:szCs w:val="22"/>
        </w:rPr>
        <w:t>prevalecer</w:t>
      </w:r>
      <w:r>
        <w:rPr>
          <w:rFonts w:ascii="Calibri" w:hAnsi="Calibri"/>
          <w:sz w:val="22"/>
          <w:szCs w:val="22"/>
        </w:rPr>
        <w:t xml:space="preserve"> </w:t>
      </w:r>
      <w:r w:rsidRPr="003A3CCF">
        <w:rPr>
          <w:rFonts w:ascii="Calibri" w:hAnsi="Calibri"/>
          <w:sz w:val="22"/>
          <w:szCs w:val="22"/>
        </w:rPr>
        <w:t>otros criterios, especi</w:t>
      </w:r>
      <w:r>
        <w:rPr>
          <w:rFonts w:ascii="Calibri" w:hAnsi="Calibri"/>
          <w:sz w:val="22"/>
          <w:szCs w:val="22"/>
        </w:rPr>
        <w:t xml:space="preserve">almente la nota obtenida en el último proceso selectivo de cada especialidad, </w:t>
      </w:r>
      <w:r w:rsidRPr="003A3CCF">
        <w:rPr>
          <w:rFonts w:ascii="Calibri" w:hAnsi="Calibri"/>
          <w:sz w:val="22"/>
          <w:szCs w:val="22"/>
        </w:rPr>
        <w:t>lo que</w:t>
      </w:r>
      <w:r>
        <w:rPr>
          <w:rFonts w:ascii="Calibri" w:hAnsi="Calibri"/>
          <w:sz w:val="22"/>
          <w:szCs w:val="22"/>
        </w:rPr>
        <w:t xml:space="preserve"> supuso la continua rotación en el empleo y que</w:t>
      </w:r>
      <w:r w:rsidRPr="003A3CCF">
        <w:rPr>
          <w:rFonts w:ascii="Calibri" w:hAnsi="Calibri"/>
          <w:sz w:val="22"/>
          <w:szCs w:val="22"/>
        </w:rPr>
        <w:t xml:space="preserve"> en muchas especialidades </w:t>
      </w:r>
      <w:r>
        <w:rPr>
          <w:rFonts w:ascii="Calibri" w:hAnsi="Calibri"/>
          <w:sz w:val="22"/>
          <w:szCs w:val="22"/>
        </w:rPr>
        <w:t xml:space="preserve">fuera </w:t>
      </w:r>
      <w:r w:rsidRPr="003A3CCF">
        <w:rPr>
          <w:rFonts w:ascii="Calibri" w:hAnsi="Calibri"/>
          <w:sz w:val="22"/>
          <w:szCs w:val="22"/>
        </w:rPr>
        <w:t xml:space="preserve">el instrumento decisorio para organizar esas listas. </w:t>
      </w:r>
    </w:p>
    <w:p w:rsidR="00FB1C10" w:rsidRDefault="00FB1C10" w:rsidP="00FB1C10">
      <w:pPr>
        <w:widowControl w:val="0"/>
        <w:tabs>
          <w:tab w:val="left" w:pos="360"/>
          <w:tab w:val="left" w:pos="720"/>
        </w:tabs>
        <w:autoSpaceDE w:val="0"/>
        <w:autoSpaceDN w:val="0"/>
        <w:adjustRightInd w:val="0"/>
        <w:jc w:val="both"/>
        <w:rPr>
          <w:rFonts w:ascii="Calibri" w:hAnsi="Calibri"/>
          <w:sz w:val="22"/>
          <w:szCs w:val="22"/>
        </w:rPr>
      </w:pPr>
    </w:p>
    <w:p w:rsidR="00FB1C10" w:rsidRDefault="00FB1C10" w:rsidP="00FB1C10">
      <w:pPr>
        <w:widowControl w:val="0"/>
        <w:tabs>
          <w:tab w:val="left" w:pos="360"/>
          <w:tab w:val="left" w:pos="720"/>
        </w:tabs>
        <w:autoSpaceDE w:val="0"/>
        <w:autoSpaceDN w:val="0"/>
        <w:adjustRightInd w:val="0"/>
        <w:jc w:val="both"/>
        <w:rPr>
          <w:rFonts w:ascii="Calibri" w:hAnsi="Calibri"/>
          <w:sz w:val="22"/>
          <w:szCs w:val="22"/>
        </w:rPr>
      </w:pPr>
      <w:r w:rsidRPr="003A3CCF">
        <w:rPr>
          <w:rFonts w:ascii="Calibri" w:hAnsi="Calibri"/>
          <w:sz w:val="22"/>
          <w:szCs w:val="22"/>
        </w:rPr>
        <w:t xml:space="preserve">En Asturias, </w:t>
      </w:r>
      <w:r>
        <w:rPr>
          <w:rFonts w:ascii="Calibri" w:hAnsi="Calibri"/>
          <w:sz w:val="22"/>
          <w:szCs w:val="22"/>
        </w:rPr>
        <w:t xml:space="preserve">con la asunción de competencias en el 2000, salió adelante un primer Acuerdo para profesorado interino que recogía la estabilidad en el empleo durante tres cursos para todos los interinos que hubieran trabajado en Asturias al menos un curso. Dicho Acuerdo lo </w:t>
      </w:r>
      <w:proofErr w:type="gramStart"/>
      <w:r>
        <w:rPr>
          <w:rFonts w:ascii="Calibri" w:hAnsi="Calibri"/>
          <w:sz w:val="22"/>
          <w:szCs w:val="22"/>
        </w:rPr>
        <w:t>avalaron</w:t>
      </w:r>
      <w:proofErr w:type="gramEnd"/>
      <w:r>
        <w:rPr>
          <w:rFonts w:ascii="Calibri" w:hAnsi="Calibri"/>
          <w:sz w:val="22"/>
          <w:szCs w:val="22"/>
        </w:rPr>
        <w:t xml:space="preserve"> y firmaron cuatro Organizaciones sindicales, incluido SUATEA, pues entendimos que daba una cierta estabilidad a un colectivo que se veía abocado de forma inminente a la precariedad y a la pérdida de derechos.  </w:t>
      </w:r>
    </w:p>
    <w:p w:rsidR="00FB1C10" w:rsidRDefault="00FB1C10" w:rsidP="00FB1C10">
      <w:pPr>
        <w:widowControl w:val="0"/>
        <w:tabs>
          <w:tab w:val="left" w:pos="360"/>
          <w:tab w:val="left" w:pos="720"/>
        </w:tabs>
        <w:autoSpaceDE w:val="0"/>
        <w:autoSpaceDN w:val="0"/>
        <w:adjustRightInd w:val="0"/>
        <w:jc w:val="both"/>
        <w:rPr>
          <w:rFonts w:ascii="Calibri" w:hAnsi="Calibri"/>
          <w:sz w:val="22"/>
          <w:szCs w:val="22"/>
        </w:rPr>
      </w:pPr>
    </w:p>
    <w:p w:rsidR="00FB1C10" w:rsidRDefault="00FB1C10" w:rsidP="00FB1C10">
      <w:pPr>
        <w:widowControl w:val="0"/>
        <w:tabs>
          <w:tab w:val="left" w:pos="360"/>
          <w:tab w:val="left" w:pos="720"/>
        </w:tabs>
        <w:autoSpaceDE w:val="0"/>
        <w:autoSpaceDN w:val="0"/>
        <w:adjustRightInd w:val="0"/>
        <w:jc w:val="both"/>
        <w:rPr>
          <w:rFonts w:ascii="Calibri" w:hAnsi="Calibri"/>
          <w:sz w:val="22"/>
          <w:szCs w:val="22"/>
        </w:rPr>
      </w:pPr>
      <w:r>
        <w:rPr>
          <w:rFonts w:ascii="Calibri" w:hAnsi="Calibri"/>
          <w:sz w:val="22"/>
          <w:szCs w:val="22"/>
        </w:rPr>
        <w:t xml:space="preserve">Por una serie de circunstancias y por una denuncia de ANPE (curiosamente en otros territorios este sindicato ha firmado pactos de estabilidad), se declaró ilegal el Acuerdo y, a partir de ahí, llegó lo que desde SUATEA veíamos como la crónica de la muerte anunciada para un colectivo que en aquellos momentos rondaba el 18% de la plantilla docente y que en la actualidad supera el 30%. </w:t>
      </w:r>
    </w:p>
    <w:p w:rsidR="00FB1C10" w:rsidRDefault="00FB1C10" w:rsidP="00FB1C10">
      <w:pPr>
        <w:widowControl w:val="0"/>
        <w:tabs>
          <w:tab w:val="left" w:pos="360"/>
          <w:tab w:val="left" w:pos="720"/>
        </w:tabs>
        <w:autoSpaceDE w:val="0"/>
        <w:autoSpaceDN w:val="0"/>
        <w:adjustRightInd w:val="0"/>
        <w:jc w:val="both"/>
        <w:rPr>
          <w:rFonts w:ascii="Calibri" w:hAnsi="Calibri"/>
          <w:sz w:val="22"/>
          <w:szCs w:val="22"/>
        </w:rPr>
      </w:pPr>
    </w:p>
    <w:p w:rsidR="00FB1C10" w:rsidRDefault="00FB1C10" w:rsidP="00FB1C10">
      <w:pPr>
        <w:widowControl w:val="0"/>
        <w:tabs>
          <w:tab w:val="left" w:pos="360"/>
          <w:tab w:val="left" w:pos="720"/>
        </w:tabs>
        <w:autoSpaceDE w:val="0"/>
        <w:autoSpaceDN w:val="0"/>
        <w:adjustRightInd w:val="0"/>
        <w:jc w:val="both"/>
        <w:rPr>
          <w:rFonts w:ascii="Calibri" w:hAnsi="Calibri"/>
          <w:sz w:val="22"/>
          <w:szCs w:val="22"/>
        </w:rPr>
      </w:pPr>
      <w:r>
        <w:rPr>
          <w:rFonts w:ascii="Calibri" w:hAnsi="Calibri"/>
          <w:sz w:val="22"/>
          <w:szCs w:val="22"/>
        </w:rPr>
        <w:t xml:space="preserve">Desde entonces,  ha habido diferentes sistemas de regulación de listas de interinos en Asturias: el que de forma unilateral impuso la Administración en el 2001; el del año 2005, avalado por FETE-UGT y ANPE; y el último, del año 2014, firmado una vez más por ANPE y FETE-UGT. </w:t>
      </w:r>
    </w:p>
    <w:p w:rsidR="00FB1C10" w:rsidRDefault="00FB1C10" w:rsidP="00FB1C10">
      <w:pPr>
        <w:widowControl w:val="0"/>
        <w:tabs>
          <w:tab w:val="left" w:pos="360"/>
          <w:tab w:val="left" w:pos="720"/>
        </w:tabs>
        <w:autoSpaceDE w:val="0"/>
        <w:autoSpaceDN w:val="0"/>
        <w:adjustRightInd w:val="0"/>
        <w:jc w:val="both"/>
        <w:rPr>
          <w:rFonts w:ascii="Calibri" w:hAnsi="Calibri"/>
          <w:sz w:val="22"/>
          <w:szCs w:val="22"/>
        </w:rPr>
      </w:pPr>
    </w:p>
    <w:p w:rsidR="00FB1C10" w:rsidRDefault="00FB1C10" w:rsidP="00FB1C10">
      <w:pPr>
        <w:widowControl w:val="0"/>
        <w:tabs>
          <w:tab w:val="left" w:pos="360"/>
          <w:tab w:val="left" w:pos="720"/>
        </w:tabs>
        <w:autoSpaceDE w:val="0"/>
        <w:autoSpaceDN w:val="0"/>
        <w:adjustRightInd w:val="0"/>
        <w:jc w:val="both"/>
        <w:rPr>
          <w:rFonts w:ascii="Calibri" w:hAnsi="Calibri"/>
          <w:sz w:val="22"/>
          <w:szCs w:val="22"/>
        </w:rPr>
      </w:pPr>
      <w:r>
        <w:rPr>
          <w:rFonts w:ascii="Calibri" w:hAnsi="Calibri"/>
          <w:sz w:val="22"/>
          <w:szCs w:val="22"/>
        </w:rPr>
        <w:t xml:space="preserve">Nunca ha habido acuerdo sindical mayoritario, salvo el del año 2000 y que avaló SUATEA, a la hora de negociar la regulación de </w:t>
      </w:r>
      <w:r>
        <w:rPr>
          <w:rFonts w:ascii="Calibri" w:hAnsi="Calibri" w:hint="eastAsia"/>
          <w:sz w:val="22"/>
          <w:szCs w:val="22"/>
        </w:rPr>
        <w:t>derechos</w:t>
      </w:r>
      <w:r>
        <w:rPr>
          <w:rFonts w:ascii="Calibri" w:hAnsi="Calibri"/>
          <w:sz w:val="22"/>
          <w:szCs w:val="22"/>
        </w:rPr>
        <w:t xml:space="preserve"> de este colectivo. Ahora bien, los Acuerdos que han salido adelante, desde nuestro punto de vista, han servido para precarizar el empleo interino y para dejar al colectivo en una inestabilidad permanente. </w:t>
      </w:r>
    </w:p>
    <w:p w:rsidR="00FB1C10" w:rsidRDefault="00FB1C10" w:rsidP="00FB1C10">
      <w:pPr>
        <w:widowControl w:val="0"/>
        <w:tabs>
          <w:tab w:val="left" w:pos="360"/>
          <w:tab w:val="left" w:pos="720"/>
        </w:tabs>
        <w:autoSpaceDE w:val="0"/>
        <w:autoSpaceDN w:val="0"/>
        <w:adjustRightInd w:val="0"/>
        <w:jc w:val="both"/>
        <w:rPr>
          <w:rFonts w:ascii="Calibri" w:hAnsi="Calibri"/>
          <w:sz w:val="22"/>
          <w:szCs w:val="22"/>
        </w:rPr>
      </w:pPr>
    </w:p>
    <w:p w:rsidR="00FB1C10" w:rsidRPr="003A3CCF" w:rsidRDefault="00FB1C10" w:rsidP="00FB1C10">
      <w:pPr>
        <w:widowControl w:val="0"/>
        <w:tabs>
          <w:tab w:val="left" w:pos="360"/>
          <w:tab w:val="left" w:pos="720"/>
        </w:tabs>
        <w:autoSpaceDE w:val="0"/>
        <w:autoSpaceDN w:val="0"/>
        <w:adjustRightInd w:val="0"/>
        <w:jc w:val="both"/>
        <w:rPr>
          <w:rFonts w:ascii="Calibri" w:hAnsi="Calibri"/>
          <w:sz w:val="22"/>
          <w:szCs w:val="22"/>
        </w:rPr>
      </w:pPr>
      <w:r>
        <w:rPr>
          <w:rFonts w:ascii="Calibri" w:hAnsi="Calibri"/>
          <w:sz w:val="22"/>
          <w:szCs w:val="22"/>
        </w:rPr>
        <w:t xml:space="preserve">Desde </w:t>
      </w:r>
      <w:r w:rsidRPr="003A3CCF">
        <w:rPr>
          <w:rFonts w:ascii="Calibri" w:hAnsi="Calibri"/>
          <w:sz w:val="22"/>
          <w:szCs w:val="22"/>
        </w:rPr>
        <w:t xml:space="preserve">SUATEA </w:t>
      </w:r>
      <w:r>
        <w:rPr>
          <w:rFonts w:ascii="Calibri" w:hAnsi="Calibri"/>
          <w:sz w:val="22"/>
          <w:szCs w:val="22"/>
        </w:rPr>
        <w:t xml:space="preserve">siempre entendimos, y así lo denunciamos, que la Administración asturiana sometía al colectivo de interinos al desempleo, a la rotación, al trabajo precario (medias jornadas, dudas en el cobro de verano, inferior salario, etc.), así como una evidente discriminación respecto a otros territorios </w:t>
      </w:r>
      <w:r w:rsidRPr="003A3CCF">
        <w:rPr>
          <w:rFonts w:ascii="Calibri" w:hAnsi="Calibri"/>
          <w:sz w:val="22"/>
          <w:szCs w:val="22"/>
        </w:rPr>
        <w:t xml:space="preserve">donde han protegido y protegen a sus interinos con listas cerradas frente a la llegada de aspirantes de otros territorios. Y efectivamente, tal como SUATEA anticipó, así </w:t>
      </w:r>
      <w:r>
        <w:rPr>
          <w:rFonts w:ascii="Calibri" w:hAnsi="Calibri"/>
          <w:sz w:val="22"/>
          <w:szCs w:val="22"/>
        </w:rPr>
        <w:t>ha ocurrido, pues un</w:t>
      </w:r>
      <w:r w:rsidRPr="003A3CCF">
        <w:rPr>
          <w:rFonts w:ascii="Calibri" w:hAnsi="Calibri"/>
          <w:sz w:val="22"/>
          <w:szCs w:val="22"/>
        </w:rPr>
        <w:t xml:space="preserve"> sistema de listas abiertas y </w:t>
      </w:r>
      <w:proofErr w:type="spellStart"/>
      <w:r w:rsidRPr="003A3CCF">
        <w:rPr>
          <w:rFonts w:ascii="Calibri" w:hAnsi="Calibri"/>
          <w:sz w:val="22"/>
          <w:szCs w:val="22"/>
        </w:rPr>
        <w:t>re</w:t>
      </w:r>
      <w:r>
        <w:rPr>
          <w:rFonts w:ascii="Calibri" w:hAnsi="Calibri"/>
          <w:sz w:val="22"/>
          <w:szCs w:val="22"/>
        </w:rPr>
        <w:t>baremadas</w:t>
      </w:r>
      <w:proofErr w:type="spellEnd"/>
      <w:r w:rsidRPr="003A3CCF">
        <w:rPr>
          <w:rFonts w:ascii="Calibri" w:hAnsi="Calibri"/>
          <w:sz w:val="22"/>
          <w:szCs w:val="22"/>
        </w:rPr>
        <w:t xml:space="preserve"> cada vez que se han convocado oposiciones ha funcion</w:t>
      </w:r>
      <w:r>
        <w:rPr>
          <w:rFonts w:ascii="Calibri" w:hAnsi="Calibri"/>
          <w:sz w:val="22"/>
          <w:szCs w:val="22"/>
        </w:rPr>
        <w:t>ado como “efecto llamada” para persona</w:t>
      </w:r>
      <w:r w:rsidRPr="003A3CCF">
        <w:rPr>
          <w:rFonts w:ascii="Calibri" w:hAnsi="Calibri"/>
          <w:sz w:val="22"/>
          <w:szCs w:val="22"/>
        </w:rPr>
        <w:t>s que, no pudiendo ser aspirantes en territorios</w:t>
      </w:r>
      <w:r>
        <w:rPr>
          <w:rFonts w:ascii="Calibri" w:hAnsi="Calibri"/>
          <w:sz w:val="22"/>
          <w:szCs w:val="22"/>
        </w:rPr>
        <w:t xml:space="preserve"> con listas cerradas</w:t>
      </w:r>
      <w:r w:rsidRPr="003A3CCF">
        <w:rPr>
          <w:rFonts w:ascii="Calibri" w:hAnsi="Calibri"/>
          <w:sz w:val="22"/>
          <w:szCs w:val="22"/>
        </w:rPr>
        <w:t xml:space="preserve">, han visto en Asturias una oportunidad de trabajo. </w:t>
      </w:r>
    </w:p>
    <w:p w:rsidR="00FB1C10" w:rsidRPr="003A3CCF" w:rsidRDefault="00FB1C10" w:rsidP="00FB1C10">
      <w:pPr>
        <w:widowControl w:val="0"/>
        <w:tabs>
          <w:tab w:val="left" w:pos="360"/>
          <w:tab w:val="left" w:pos="720"/>
        </w:tabs>
        <w:autoSpaceDE w:val="0"/>
        <w:autoSpaceDN w:val="0"/>
        <w:adjustRightInd w:val="0"/>
        <w:jc w:val="both"/>
        <w:rPr>
          <w:rFonts w:ascii="Calibri" w:hAnsi="Calibri"/>
          <w:sz w:val="22"/>
          <w:szCs w:val="22"/>
        </w:rPr>
      </w:pPr>
    </w:p>
    <w:p w:rsidR="00FB1C10" w:rsidRDefault="00FB1C10" w:rsidP="00FB1C10">
      <w:pPr>
        <w:widowControl w:val="0"/>
        <w:tabs>
          <w:tab w:val="left" w:pos="360"/>
          <w:tab w:val="left" w:pos="720"/>
        </w:tabs>
        <w:autoSpaceDE w:val="0"/>
        <w:autoSpaceDN w:val="0"/>
        <w:adjustRightInd w:val="0"/>
        <w:jc w:val="both"/>
        <w:rPr>
          <w:rFonts w:ascii="Calibri" w:hAnsi="Calibri"/>
          <w:sz w:val="22"/>
          <w:szCs w:val="36"/>
        </w:rPr>
      </w:pPr>
      <w:r>
        <w:rPr>
          <w:rFonts w:ascii="Calibri" w:hAnsi="Calibri"/>
          <w:sz w:val="22"/>
          <w:szCs w:val="22"/>
        </w:rPr>
        <w:t xml:space="preserve">Curiosamente, el </w:t>
      </w:r>
      <w:r w:rsidRPr="003A3CCF">
        <w:rPr>
          <w:rFonts w:ascii="Calibri" w:hAnsi="Calibri"/>
          <w:sz w:val="22"/>
          <w:szCs w:val="22"/>
        </w:rPr>
        <w:t xml:space="preserve">criterio de otorgar mayor peso a la nota de oposición ha sido un empeño de los territorios del PP frente a territorios del PSOE, donde se ha apostado más por la estabilidad en el empleo y en las plantillas docentes (siguen vigentes Acuerdos suscritos por </w:t>
      </w:r>
      <w:r>
        <w:rPr>
          <w:rFonts w:ascii="Calibri" w:hAnsi="Calibri"/>
          <w:sz w:val="22"/>
          <w:szCs w:val="22"/>
        </w:rPr>
        <w:t xml:space="preserve">gobiernos </w:t>
      </w:r>
      <w:r w:rsidRPr="003A3CCF">
        <w:rPr>
          <w:rFonts w:ascii="Calibri" w:hAnsi="Calibri"/>
          <w:sz w:val="22"/>
          <w:szCs w:val="22"/>
        </w:rPr>
        <w:t xml:space="preserve">socialistas en Andalucía, Cataluña, </w:t>
      </w:r>
      <w:r>
        <w:rPr>
          <w:rFonts w:ascii="Calibri" w:hAnsi="Calibri"/>
          <w:sz w:val="22"/>
          <w:szCs w:val="22"/>
        </w:rPr>
        <w:t xml:space="preserve">Galicia, </w:t>
      </w:r>
      <w:r w:rsidRPr="003A3CCF">
        <w:rPr>
          <w:rFonts w:ascii="Calibri" w:hAnsi="Calibri"/>
          <w:sz w:val="22"/>
          <w:szCs w:val="22"/>
        </w:rPr>
        <w:t xml:space="preserve">Extremadura, etc.). Por el contrario, en la Comunidad de Madrid, </w:t>
      </w:r>
      <w:r>
        <w:rPr>
          <w:rFonts w:ascii="Calibri" w:hAnsi="Calibri"/>
          <w:sz w:val="22"/>
          <w:szCs w:val="22"/>
        </w:rPr>
        <w:t>la Administración fijó en el 2012</w:t>
      </w:r>
      <w:r w:rsidRPr="003A3CCF">
        <w:rPr>
          <w:rFonts w:ascii="Calibri" w:hAnsi="Calibri"/>
          <w:sz w:val="22"/>
          <w:szCs w:val="22"/>
        </w:rPr>
        <w:t xml:space="preserve"> de forma unilateral, con la oposición de todos los sindicatos, los criterios de elaboración de listas dando a la nota de las oposiciones un peso del 80% frente al 15% de la experiencia.</w:t>
      </w:r>
      <w:r w:rsidRPr="003A3CCF">
        <w:rPr>
          <w:rFonts w:ascii="Calibri" w:hAnsi="Calibri"/>
          <w:sz w:val="22"/>
          <w:szCs w:val="36"/>
        </w:rPr>
        <w:t xml:space="preserve"> Y esa es la tendencia que se </w:t>
      </w:r>
      <w:r>
        <w:rPr>
          <w:rFonts w:ascii="Calibri" w:hAnsi="Calibri"/>
          <w:sz w:val="22"/>
          <w:szCs w:val="36"/>
        </w:rPr>
        <w:t xml:space="preserve">llevó al último Acuerdo alcanzado </w:t>
      </w:r>
      <w:r w:rsidRPr="003A3CCF">
        <w:rPr>
          <w:rFonts w:ascii="Calibri" w:hAnsi="Calibri"/>
          <w:sz w:val="22"/>
          <w:szCs w:val="36"/>
        </w:rPr>
        <w:t>en Asturias: sobre</w:t>
      </w:r>
      <w:r>
        <w:rPr>
          <w:rFonts w:ascii="Calibri" w:hAnsi="Calibri"/>
          <w:sz w:val="22"/>
          <w:szCs w:val="36"/>
        </w:rPr>
        <w:t>valorar</w:t>
      </w:r>
      <w:r w:rsidRPr="003A3CCF">
        <w:rPr>
          <w:rFonts w:ascii="Calibri" w:hAnsi="Calibri"/>
          <w:sz w:val="22"/>
          <w:szCs w:val="36"/>
        </w:rPr>
        <w:t xml:space="preserve"> la nota de oposición</w:t>
      </w:r>
      <w:r>
        <w:rPr>
          <w:rFonts w:ascii="Calibri" w:hAnsi="Calibri"/>
          <w:sz w:val="22"/>
          <w:szCs w:val="36"/>
        </w:rPr>
        <w:t xml:space="preserve"> frente a</w:t>
      </w:r>
      <w:r w:rsidRPr="003A3CCF">
        <w:rPr>
          <w:rFonts w:ascii="Calibri" w:hAnsi="Calibri"/>
          <w:sz w:val="22"/>
          <w:szCs w:val="36"/>
        </w:rPr>
        <w:t xml:space="preserve"> la experiencia docente, que queda </w:t>
      </w:r>
      <w:r>
        <w:rPr>
          <w:rFonts w:ascii="Calibri" w:hAnsi="Calibri"/>
          <w:sz w:val="22"/>
          <w:szCs w:val="36"/>
        </w:rPr>
        <w:t>infra</w:t>
      </w:r>
      <w:r w:rsidRPr="003A3CCF">
        <w:rPr>
          <w:rFonts w:ascii="Calibri" w:hAnsi="Calibri"/>
          <w:sz w:val="22"/>
          <w:szCs w:val="36"/>
        </w:rPr>
        <w:t xml:space="preserve">valorada. Por tanto, se </w:t>
      </w:r>
      <w:r>
        <w:rPr>
          <w:rFonts w:ascii="Calibri" w:hAnsi="Calibri"/>
          <w:sz w:val="22"/>
          <w:szCs w:val="36"/>
        </w:rPr>
        <w:t xml:space="preserve">pretende cambiar personas con experiencia y que cobran complementos por antigüedad por nuevos docentes más baratos. </w:t>
      </w:r>
    </w:p>
    <w:p w:rsidR="00FB1C10" w:rsidRPr="003A3CCF" w:rsidRDefault="00FB1C10" w:rsidP="00FB1C10">
      <w:pPr>
        <w:widowControl w:val="0"/>
        <w:tabs>
          <w:tab w:val="left" w:pos="360"/>
          <w:tab w:val="left" w:pos="720"/>
        </w:tabs>
        <w:autoSpaceDE w:val="0"/>
        <w:autoSpaceDN w:val="0"/>
        <w:adjustRightInd w:val="0"/>
        <w:jc w:val="both"/>
        <w:rPr>
          <w:rFonts w:ascii="Calibri" w:hAnsi="Calibri"/>
          <w:sz w:val="22"/>
          <w:szCs w:val="36"/>
        </w:rPr>
      </w:pPr>
    </w:p>
    <w:p w:rsidR="00FB1C10" w:rsidRDefault="00FB1C10" w:rsidP="00050E13">
      <w:pPr>
        <w:widowControl w:val="0"/>
        <w:tabs>
          <w:tab w:val="left" w:pos="360"/>
          <w:tab w:val="left" w:pos="720"/>
        </w:tabs>
        <w:autoSpaceDE w:val="0"/>
        <w:autoSpaceDN w:val="0"/>
        <w:adjustRightInd w:val="0"/>
        <w:jc w:val="both"/>
        <w:rPr>
          <w:rFonts w:ascii="Calibri" w:hAnsi="Calibri"/>
          <w:sz w:val="22"/>
          <w:szCs w:val="36"/>
        </w:rPr>
      </w:pPr>
      <w:r>
        <w:rPr>
          <w:rFonts w:ascii="Calibri" w:hAnsi="Calibri"/>
          <w:sz w:val="22"/>
          <w:szCs w:val="36"/>
        </w:rPr>
        <w:t>Por todo ello, desde SUATEA proponemos</w:t>
      </w:r>
      <w:r w:rsidR="00050E13">
        <w:rPr>
          <w:rFonts w:ascii="Calibri" w:hAnsi="Calibri"/>
          <w:sz w:val="22"/>
          <w:szCs w:val="36"/>
        </w:rPr>
        <w:t xml:space="preserve"> la n</w:t>
      </w:r>
      <w:r w:rsidRPr="00442ACA">
        <w:rPr>
          <w:rFonts w:ascii="Calibri" w:hAnsi="Calibri"/>
          <w:sz w:val="22"/>
          <w:szCs w:val="36"/>
        </w:rPr>
        <w:t>egociación de un nuevo Acuerdo para profesorado interino que recoja los siguientes aspectos:</w:t>
      </w:r>
    </w:p>
    <w:p w:rsidR="00FB1C10" w:rsidRPr="00442ACA" w:rsidRDefault="00FB1C10" w:rsidP="00FB1C10">
      <w:pPr>
        <w:widowControl w:val="0"/>
        <w:tabs>
          <w:tab w:val="left" w:pos="360"/>
          <w:tab w:val="left" w:pos="720"/>
        </w:tabs>
        <w:autoSpaceDE w:val="0"/>
        <w:autoSpaceDN w:val="0"/>
        <w:adjustRightInd w:val="0"/>
        <w:ind w:left="360"/>
        <w:jc w:val="both"/>
        <w:rPr>
          <w:rFonts w:ascii="Calibri" w:hAnsi="Calibri"/>
          <w:sz w:val="22"/>
          <w:szCs w:val="36"/>
        </w:rPr>
      </w:pPr>
    </w:p>
    <w:p w:rsidR="00FB1C10" w:rsidRDefault="00FB1C10" w:rsidP="00FB1C10">
      <w:pPr>
        <w:widowControl w:val="0"/>
        <w:numPr>
          <w:ilvl w:val="1"/>
          <w:numId w:val="2"/>
        </w:numPr>
        <w:tabs>
          <w:tab w:val="left" w:pos="360"/>
          <w:tab w:val="left" w:pos="720"/>
        </w:tabs>
        <w:suppressAutoHyphens w:val="0"/>
        <w:autoSpaceDE w:val="0"/>
        <w:autoSpaceDN w:val="0"/>
        <w:adjustRightInd w:val="0"/>
        <w:contextualSpacing/>
        <w:jc w:val="both"/>
        <w:rPr>
          <w:rFonts w:ascii="Calibri" w:hAnsi="Calibri"/>
          <w:sz w:val="22"/>
          <w:szCs w:val="36"/>
        </w:rPr>
      </w:pPr>
      <w:r>
        <w:rPr>
          <w:rFonts w:ascii="Calibri" w:hAnsi="Calibri"/>
          <w:sz w:val="22"/>
          <w:szCs w:val="36"/>
        </w:rPr>
        <w:t>Listas en las que prevalezca la antigüedad en la elaboración de listas por delante de cualquier otro criterio.</w:t>
      </w:r>
    </w:p>
    <w:p w:rsidR="00FB1C10" w:rsidRDefault="00FB1C10" w:rsidP="00FB1C10">
      <w:pPr>
        <w:widowControl w:val="0"/>
        <w:numPr>
          <w:ilvl w:val="1"/>
          <w:numId w:val="2"/>
        </w:numPr>
        <w:tabs>
          <w:tab w:val="left" w:pos="360"/>
          <w:tab w:val="left" w:pos="720"/>
        </w:tabs>
        <w:suppressAutoHyphens w:val="0"/>
        <w:autoSpaceDE w:val="0"/>
        <w:autoSpaceDN w:val="0"/>
        <w:adjustRightInd w:val="0"/>
        <w:contextualSpacing/>
        <w:jc w:val="both"/>
        <w:rPr>
          <w:rFonts w:ascii="Calibri" w:hAnsi="Calibri"/>
          <w:sz w:val="22"/>
          <w:szCs w:val="36"/>
        </w:rPr>
      </w:pPr>
      <w:r>
        <w:rPr>
          <w:rFonts w:ascii="Calibri" w:hAnsi="Calibri"/>
          <w:sz w:val="22"/>
          <w:szCs w:val="36"/>
        </w:rPr>
        <w:t>Estabilidad en el empleo para quienes están trabajando en la actualidad.</w:t>
      </w:r>
    </w:p>
    <w:p w:rsidR="00FB1C10" w:rsidRDefault="00FB1C10" w:rsidP="00FB1C10">
      <w:pPr>
        <w:widowControl w:val="0"/>
        <w:numPr>
          <w:ilvl w:val="1"/>
          <w:numId w:val="2"/>
        </w:numPr>
        <w:tabs>
          <w:tab w:val="left" w:pos="360"/>
          <w:tab w:val="left" w:pos="720"/>
        </w:tabs>
        <w:suppressAutoHyphens w:val="0"/>
        <w:autoSpaceDE w:val="0"/>
        <w:autoSpaceDN w:val="0"/>
        <w:adjustRightInd w:val="0"/>
        <w:contextualSpacing/>
        <w:jc w:val="both"/>
        <w:rPr>
          <w:rFonts w:ascii="Calibri" w:hAnsi="Calibri"/>
          <w:sz w:val="22"/>
          <w:szCs w:val="36"/>
        </w:rPr>
      </w:pPr>
      <w:r>
        <w:rPr>
          <w:rFonts w:ascii="Calibri" w:hAnsi="Calibri"/>
          <w:sz w:val="22"/>
          <w:szCs w:val="36"/>
        </w:rPr>
        <w:t>No obligatoriedad de presentarse a oposiciones.</w:t>
      </w:r>
    </w:p>
    <w:p w:rsidR="00FB1C10" w:rsidRDefault="00FB1C10" w:rsidP="00FB1C10">
      <w:pPr>
        <w:widowControl w:val="0"/>
        <w:numPr>
          <w:ilvl w:val="1"/>
          <w:numId w:val="2"/>
        </w:numPr>
        <w:tabs>
          <w:tab w:val="left" w:pos="360"/>
          <w:tab w:val="left" w:pos="720"/>
        </w:tabs>
        <w:suppressAutoHyphens w:val="0"/>
        <w:autoSpaceDE w:val="0"/>
        <w:autoSpaceDN w:val="0"/>
        <w:adjustRightInd w:val="0"/>
        <w:contextualSpacing/>
        <w:jc w:val="both"/>
        <w:rPr>
          <w:rFonts w:ascii="Calibri" w:hAnsi="Calibri"/>
          <w:sz w:val="22"/>
          <w:szCs w:val="36"/>
        </w:rPr>
      </w:pPr>
      <w:r>
        <w:rPr>
          <w:rFonts w:ascii="Calibri" w:hAnsi="Calibri"/>
          <w:sz w:val="22"/>
          <w:szCs w:val="36"/>
        </w:rPr>
        <w:t>Contrato indefinido al profesorado interino mayor de 55 años.</w:t>
      </w:r>
    </w:p>
    <w:p w:rsidR="00FB1C10" w:rsidRDefault="00FB1C10" w:rsidP="00FB1C10">
      <w:pPr>
        <w:widowControl w:val="0"/>
        <w:numPr>
          <w:ilvl w:val="1"/>
          <w:numId w:val="2"/>
        </w:numPr>
        <w:tabs>
          <w:tab w:val="left" w:pos="360"/>
          <w:tab w:val="left" w:pos="720"/>
        </w:tabs>
        <w:suppressAutoHyphens w:val="0"/>
        <w:autoSpaceDE w:val="0"/>
        <w:autoSpaceDN w:val="0"/>
        <w:adjustRightInd w:val="0"/>
        <w:contextualSpacing/>
        <w:jc w:val="both"/>
        <w:rPr>
          <w:rFonts w:ascii="Calibri" w:hAnsi="Calibri"/>
          <w:sz w:val="22"/>
          <w:szCs w:val="36"/>
        </w:rPr>
      </w:pPr>
      <w:r>
        <w:rPr>
          <w:rFonts w:ascii="Calibri" w:hAnsi="Calibri"/>
          <w:sz w:val="22"/>
          <w:szCs w:val="36"/>
        </w:rPr>
        <w:t xml:space="preserve">Integración en listas y reconocimiento de derechos de las personas afectadas por discapacidad. </w:t>
      </w:r>
    </w:p>
    <w:p w:rsidR="00FB1C10" w:rsidRPr="002C24BF" w:rsidRDefault="00FB1C10" w:rsidP="00FB1C10">
      <w:pPr>
        <w:widowControl w:val="0"/>
        <w:numPr>
          <w:ilvl w:val="1"/>
          <w:numId w:val="2"/>
        </w:numPr>
        <w:tabs>
          <w:tab w:val="left" w:pos="360"/>
          <w:tab w:val="left" w:pos="720"/>
        </w:tabs>
        <w:suppressAutoHyphens w:val="0"/>
        <w:autoSpaceDE w:val="0"/>
        <w:autoSpaceDN w:val="0"/>
        <w:adjustRightInd w:val="0"/>
        <w:contextualSpacing/>
        <w:jc w:val="both"/>
        <w:rPr>
          <w:rFonts w:ascii="Arial" w:hAnsi="Arial" w:cs="Arial"/>
          <w:sz w:val="22"/>
          <w:szCs w:val="22"/>
        </w:rPr>
      </w:pPr>
      <w:r w:rsidRPr="002C24BF">
        <w:rPr>
          <w:rFonts w:ascii="Calibri" w:hAnsi="Calibri"/>
          <w:sz w:val="22"/>
          <w:szCs w:val="36"/>
        </w:rPr>
        <w:t>Equiparación al profesorado funcionario en todos los aspectos.</w:t>
      </w:r>
    </w:p>
    <w:sectPr w:rsidR="00FB1C10" w:rsidRPr="002C24BF" w:rsidSect="009F1792">
      <w:headerReference w:type="default" r:id="rId7"/>
      <w:footerReference w:type="default" r:id="rId8"/>
      <w:pgSz w:w="11906" w:h="16838"/>
      <w:pgMar w:top="2664" w:right="1133" w:bottom="1618" w:left="1560" w:header="709" w:footer="7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C10" w:rsidRDefault="00FB1C10" w:rsidP="00FB1C10">
      <w:r>
        <w:separator/>
      </w:r>
    </w:p>
  </w:endnote>
  <w:endnote w:type="continuationSeparator" w:id="1">
    <w:p w:rsidR="00FB1C10" w:rsidRDefault="00FB1C10" w:rsidP="00FB1C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84" w:rsidRPr="00397784" w:rsidRDefault="00DF35E1" w:rsidP="00670A91">
    <w:pPr>
      <w:ind w:left="-284"/>
      <w:jc w:val="center"/>
      <w:rPr>
        <w:rFonts w:ascii="Tahoma" w:hAnsi="Tahoma" w:cs="Tahoma"/>
        <w:b/>
        <w:color w:val="000080"/>
        <w:lang w:val="es-ES_tradnl"/>
      </w:rPr>
    </w:pPr>
    <w:r>
      <w:rPr>
        <w:rFonts w:ascii="Tahoma" w:hAnsi="Tahoma" w:cs="Tahoma"/>
        <w:b/>
        <w:color w:val="000080"/>
        <w:lang w:val="es-ES_tradnl"/>
      </w:rPr>
      <w:t>SI</w:t>
    </w:r>
    <w:r w:rsidRPr="00397784">
      <w:rPr>
        <w:rFonts w:ascii="Tahoma" w:hAnsi="Tahoma" w:cs="Tahoma"/>
        <w:b/>
        <w:color w:val="000080"/>
        <w:lang w:val="es-ES_tradnl"/>
      </w:rPr>
      <w:t>NDICATU UNITARIU Y AUTÓNOMU DE TRABAYADORES DE LA ENSEÑANZA D'ASTURIES</w:t>
    </w:r>
  </w:p>
  <w:p w:rsidR="00397784" w:rsidRDefault="008521A8" w:rsidP="00670A91">
    <w:pPr>
      <w:ind w:left="-142"/>
      <w:jc w:val="center"/>
      <w:rPr>
        <w:lang w:val="es-ES_tradnl"/>
      </w:rPr>
    </w:pPr>
    <w:r>
      <w:rPr>
        <w:noProof/>
      </w:rPr>
      <w:pict>
        <v:line id="_x0000_s1025" style="position:absolute;left:0;text-align:left;flip:y;z-index:251658240" from="-18pt,5.65pt" to="456.55pt,6.55pt" strokecolor="navy" strokeweight="1.5pt"/>
      </w:pict>
    </w:r>
  </w:p>
  <w:p w:rsidR="0066327D" w:rsidRPr="00397784" w:rsidRDefault="00DF35E1" w:rsidP="00670A91">
    <w:pPr>
      <w:ind w:left="-851" w:right="-285"/>
      <w:jc w:val="center"/>
      <w:rPr>
        <w:rFonts w:ascii="Arial" w:hAnsi="Arial" w:cs="Arial"/>
        <w:sz w:val="16"/>
        <w:szCs w:val="16"/>
        <w:lang w:val="es-ES_tradnl"/>
      </w:rPr>
    </w:pPr>
    <w:r w:rsidRPr="00397784">
      <w:rPr>
        <w:rFonts w:ascii="Arial" w:hAnsi="Arial" w:cs="Arial"/>
        <w:color w:val="000080"/>
        <w:sz w:val="16"/>
        <w:szCs w:val="16"/>
        <w:lang w:val="es-ES_tradnl"/>
      </w:rPr>
      <w:t>C/ Telesforo Cuevas 2, 1</w:t>
    </w:r>
    <w:r w:rsidRPr="00397784">
      <w:rPr>
        <w:rFonts w:ascii="Arial" w:hAnsi="Arial" w:cs="Arial"/>
        <w:color w:val="000080"/>
        <w:sz w:val="16"/>
        <w:szCs w:val="16"/>
        <w:vertAlign w:val="superscript"/>
        <w:lang w:val="es-ES_tradnl"/>
      </w:rPr>
      <w:t>u</w:t>
    </w:r>
    <w:r w:rsidRPr="00397784">
      <w:rPr>
        <w:rFonts w:ascii="Arial" w:hAnsi="Arial" w:cs="Arial"/>
        <w:color w:val="000080"/>
        <w:sz w:val="16"/>
        <w:szCs w:val="16"/>
        <w:lang w:val="es-ES_tradnl"/>
      </w:rPr>
      <w:t xml:space="preserve"> A dcha. -33005  </w:t>
    </w:r>
    <w:proofErr w:type="spellStart"/>
    <w:r w:rsidRPr="00397784">
      <w:rPr>
        <w:rFonts w:ascii="Arial" w:hAnsi="Arial" w:cs="Arial"/>
        <w:color w:val="000080"/>
        <w:sz w:val="16"/>
        <w:szCs w:val="16"/>
        <w:lang w:val="es-ES_tradnl"/>
      </w:rPr>
      <w:t>Uviéu</w:t>
    </w:r>
    <w:proofErr w:type="spellEnd"/>
    <w:r w:rsidRPr="00397784">
      <w:rPr>
        <w:rFonts w:ascii="Arial" w:hAnsi="Arial" w:cs="Arial"/>
        <w:color w:val="000080"/>
        <w:sz w:val="16"/>
        <w:szCs w:val="16"/>
        <w:lang w:val="es-ES_tradnl"/>
      </w:rPr>
      <w:t xml:space="preserve">.  </w:t>
    </w:r>
    <w:proofErr w:type="spellStart"/>
    <w:r w:rsidRPr="00397784">
      <w:rPr>
        <w:rFonts w:ascii="Arial" w:hAnsi="Arial" w:cs="Arial"/>
        <w:color w:val="000080"/>
        <w:sz w:val="16"/>
        <w:szCs w:val="16"/>
        <w:lang w:val="es-ES_tradnl"/>
      </w:rPr>
      <w:t>Tfnu</w:t>
    </w:r>
    <w:proofErr w:type="spellEnd"/>
    <w:r w:rsidRPr="00397784">
      <w:rPr>
        <w:rFonts w:ascii="Arial" w:hAnsi="Arial" w:cs="Arial"/>
        <w:color w:val="000080"/>
        <w:sz w:val="16"/>
        <w:szCs w:val="16"/>
        <w:lang w:val="es-ES_tradnl"/>
      </w:rPr>
      <w:t xml:space="preserve">. 985 274 343.  Fax. 985 236 464.  </w:t>
    </w:r>
    <w:r w:rsidRPr="00397784">
      <w:rPr>
        <w:rFonts w:ascii="Arial" w:hAnsi="Arial" w:cs="Arial"/>
        <w:color w:val="000080"/>
        <w:sz w:val="16"/>
        <w:szCs w:val="16"/>
      </w:rPr>
      <w:t xml:space="preserve">E-mail: </w:t>
    </w:r>
    <w:hyperlink r:id="rId1" w:history="1">
      <w:r w:rsidRPr="00397784">
        <w:rPr>
          <w:rStyle w:val="Hipervnculo"/>
          <w:rFonts w:ascii="Arial" w:hAnsi="Arial" w:cs="Arial"/>
          <w:sz w:val="16"/>
          <w:szCs w:val="16"/>
        </w:rPr>
        <w:t>suatea@suatea.org</w:t>
      </w:r>
    </w:hyperlink>
    <w:r w:rsidRPr="00397784">
      <w:rPr>
        <w:rFonts w:ascii="Arial" w:hAnsi="Arial" w:cs="Arial"/>
        <w:color w:val="000080"/>
        <w:sz w:val="16"/>
        <w:szCs w:val="16"/>
      </w:rPr>
      <w:t xml:space="preserve"> Web: </w:t>
    </w:r>
    <w:hyperlink r:id="rId2" w:history="1">
      <w:r w:rsidRPr="00397784">
        <w:rPr>
          <w:rStyle w:val="Hipervnculo"/>
          <w:rFonts w:ascii="Arial" w:hAnsi="Arial" w:cs="Arial"/>
          <w:sz w:val="16"/>
          <w:szCs w:val="16"/>
        </w:rPr>
        <w:t>www.suatea.org</w:t>
      </w:r>
    </w:hyperlink>
    <w:r>
      <w:t xml:space="preserve">   </w:t>
    </w:r>
    <w:r w:rsidR="008521A8">
      <w:fldChar w:fldCharType="begin"/>
    </w:r>
    <w:r>
      <w:instrText xml:space="preserve"> PAGE   \* MERGEFORMAT </w:instrText>
    </w:r>
    <w:r w:rsidR="008521A8">
      <w:fldChar w:fldCharType="separate"/>
    </w:r>
    <w:r w:rsidR="002C24BF">
      <w:rPr>
        <w:noProof/>
      </w:rPr>
      <w:t>2</w:t>
    </w:r>
    <w:r w:rsidR="008521A8">
      <w:fldChar w:fldCharType="end"/>
    </w:r>
  </w:p>
  <w:p w:rsidR="00397784" w:rsidRPr="00397784" w:rsidRDefault="00DF35E1" w:rsidP="0066327D">
    <w:pPr>
      <w:ind w:left="-851" w:right="-143"/>
      <w:jc w:val="right"/>
      <w:rPr>
        <w:rFonts w:ascii="Arial" w:hAnsi="Arial" w:cs="Arial"/>
        <w:sz w:val="16"/>
        <w:szCs w:val="16"/>
        <w:lang w:val="es-ES_tradnl"/>
      </w:rP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C10" w:rsidRDefault="00FB1C10" w:rsidP="00FB1C10">
      <w:r>
        <w:separator/>
      </w:r>
    </w:p>
  </w:footnote>
  <w:footnote w:type="continuationSeparator" w:id="1">
    <w:p w:rsidR="00FB1C10" w:rsidRDefault="00FB1C10" w:rsidP="00FB1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F90" w:rsidRPr="003E1AFA" w:rsidRDefault="008521A8" w:rsidP="002B6515">
    <w:pPr>
      <w:ind w:left="-426" w:right="-142"/>
      <w:jc w:val="both"/>
      <w:rPr>
        <w:sz w:val="18"/>
      </w:rPr>
    </w:pPr>
    <w:r>
      <w:rPr>
        <w:noProof/>
        <w:sz w:val="18"/>
        <w:lang w:eastAsia="es-ES"/>
      </w:rPr>
      <w:pict>
        <v:shapetype id="_x0000_t202" coordsize="21600,21600" o:spt="202" path="m,l,21600r21600,l21600,xe">
          <v:stroke joinstyle="miter"/>
          <v:path gradientshapeok="t" o:connecttype="rect"/>
        </v:shapetype>
        <v:shape id="_x0000_s1026" type="#_x0000_t202" style="position:absolute;left:0;text-align:left;margin-left:.2pt;margin-top:-12.55pt;width:483.6pt;height:99.9pt;z-index:251657216;mso-width-relative:margin;mso-height-relative:margin" stroked="f">
          <v:textbox>
            <w:txbxContent>
              <w:p w:rsidR="002B6515" w:rsidRDefault="00DF35E1" w:rsidP="002B6515">
                <w:r>
                  <w:t xml:space="preserve"> </w:t>
                </w:r>
                <w:r>
                  <w:rPr>
                    <w:noProof/>
                    <w:lang w:eastAsia="es-ES"/>
                  </w:rPr>
                  <w:drawing>
                    <wp:inline distT="0" distB="0" distL="0" distR="0">
                      <wp:extent cx="4057650" cy="657225"/>
                      <wp:effectExtent l="19050" t="0" r="0" b="0"/>
                      <wp:docPr id="11"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srcRect/>
                              <a:stretch>
                                <a:fillRect/>
                              </a:stretch>
                            </pic:blipFill>
                            <pic:spPr bwMode="auto">
                              <a:xfrm>
                                <a:off x="0" y="0"/>
                                <a:ext cx="4057650" cy="657225"/>
                              </a:xfrm>
                              <a:prstGeom prst="rect">
                                <a:avLst/>
                              </a:prstGeom>
                              <a:noFill/>
                              <a:ln w="9525">
                                <a:noFill/>
                                <a:miter lim="800000"/>
                                <a:headEnd/>
                                <a:tailEnd/>
                              </a:ln>
                            </pic:spPr>
                          </pic:pic>
                        </a:graphicData>
                      </a:graphic>
                    </wp:inline>
                  </w:drawing>
                </w:r>
                <w:r>
                  <w:t xml:space="preserve">   </w:t>
                </w:r>
                <w:r w:rsidRPr="002B6515">
                  <w:rPr>
                    <w:noProof/>
                    <w:lang w:eastAsia="es-ES"/>
                  </w:rPr>
                  <w:drawing>
                    <wp:inline distT="0" distB="0" distL="0" distR="0">
                      <wp:extent cx="1295400" cy="695325"/>
                      <wp:effectExtent l="0" t="0" r="0" b="0"/>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is imágenes\LOGO_CONFE_gif-transp.gif"/>
                              <pic:cNvPicPr>
                                <a:picLocks noChangeAspect="1" noChangeArrowheads="1"/>
                              </pic:cNvPicPr>
                            </pic:nvPicPr>
                            <pic:blipFill>
                              <a:blip r:embed="rId2"/>
                              <a:srcRect/>
                              <a:stretch>
                                <a:fillRect/>
                              </a:stretch>
                            </pic:blipFill>
                            <pic:spPr bwMode="auto">
                              <a:xfrm>
                                <a:off x="0" y="0"/>
                                <a:ext cx="1295400" cy="695325"/>
                              </a:xfrm>
                              <a:prstGeom prst="rect">
                                <a:avLst/>
                              </a:prstGeom>
                              <a:noFill/>
                              <a:ln w="9525">
                                <a:noFill/>
                                <a:miter lim="800000"/>
                                <a:headEnd/>
                                <a:tailEnd/>
                              </a:ln>
                            </pic:spPr>
                          </pic:pic>
                        </a:graphicData>
                      </a:graphic>
                    </wp:inline>
                  </w:drawing>
                </w:r>
              </w:p>
              <w:p w:rsidR="002B6515" w:rsidRDefault="002C24BF" w:rsidP="002B6515"/>
              <w:p w:rsidR="002B6515" w:rsidRDefault="002C24BF" w:rsidP="002B6515"/>
            </w:txbxContent>
          </v:textbox>
        </v:shape>
      </w:pict>
    </w:r>
    <w:r w:rsidR="00DF35E1" w:rsidRPr="003E1AFA">
      <w:rPr>
        <w:sz w:val="18"/>
      </w:rPr>
      <w:t xml:space="preserve">  </w:t>
    </w:r>
    <w:r w:rsidR="00DF35E1">
      <w:rPr>
        <w:sz w:val="18"/>
      </w:rPr>
      <w:t xml:space="preserve">        </w:t>
    </w:r>
    <w:r w:rsidR="00DF35E1" w:rsidRPr="003E1AFA">
      <w:rPr>
        <w:sz w:val="18"/>
      </w:rPr>
      <w:t xml:space="preserve">                                    </w:t>
    </w:r>
    <w:r w:rsidR="00DF35E1">
      <w:rPr>
        <w:sz w:val="18"/>
      </w:rPr>
      <w:t xml:space="preserve">    </w:t>
    </w:r>
    <w:r w:rsidR="00DF35E1" w:rsidRPr="003E1AFA">
      <w:rPr>
        <w:sz w:val="18"/>
      </w:rPr>
      <w:t xml:space="preserve">                                                                                                </w:t>
    </w:r>
    <w:r w:rsidR="00DF35E1">
      <w:rPr>
        <w:sz w:val="18"/>
      </w:rPr>
      <w:t xml:space="preserve">                           </w:t>
    </w:r>
    <w:r w:rsidR="00DF35E1" w:rsidRPr="003E1AFA">
      <w:rPr>
        <w:sz w:val="18"/>
      </w:rPr>
      <w:t xml:space="preserve"> </w:t>
    </w:r>
  </w:p>
  <w:p w:rsidR="00005F90" w:rsidRDefault="002C24BF" w:rsidP="00005F90">
    <w:pPr>
      <w:ind w:left="6237"/>
      <w:jc w:val="center"/>
      <w:rPr>
        <w:sz w:val="18"/>
      </w:rPr>
    </w:pPr>
  </w:p>
  <w:p w:rsidR="00B01842" w:rsidRDefault="002C24BF" w:rsidP="00005F90">
    <w:pPr>
      <w:ind w:left="-142" w:right="-142"/>
      <w:jc w:val="center"/>
      <w:rPr>
        <w:rFonts w:ascii="Tahoma" w:hAnsi="Tahoma" w:cs="Tahoma"/>
        <w:b/>
        <w:spacing w:val="80"/>
        <w:sz w:val="32"/>
        <w:szCs w:val="32"/>
        <w:u w:val="single"/>
        <w:lang w:val="es-ES_tradnl"/>
      </w:rPr>
    </w:pPr>
  </w:p>
  <w:p w:rsidR="00B01842" w:rsidRDefault="002C24BF" w:rsidP="00005F90">
    <w:pPr>
      <w:ind w:left="-142" w:right="-142"/>
      <w:jc w:val="center"/>
      <w:rPr>
        <w:rFonts w:ascii="Tahoma" w:hAnsi="Tahoma" w:cs="Tahoma"/>
        <w:b/>
        <w:spacing w:val="80"/>
        <w:sz w:val="32"/>
        <w:szCs w:val="32"/>
        <w:u w:val="single"/>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10000">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6D2893"/>
    <w:multiLevelType w:val="hybridMultilevel"/>
    <w:tmpl w:val="C4A43E52"/>
    <w:lvl w:ilvl="0" w:tplc="D4FC6B8A">
      <w:numFmt w:val="bullet"/>
      <w:lvlText w:val="-"/>
      <w:lvlJc w:val="left"/>
      <w:pPr>
        <w:ind w:left="360" w:hanging="360"/>
      </w:pPr>
      <w:rPr>
        <w:rFonts w:ascii="Calibri" w:eastAsia="MS Mincho" w:hAnsi="Calibri" w:cs="Times New Roman"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Symbol" w:hAnsi="Symbol"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Symbol" w:hAnsi="Symbol"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Symbol" w:hAnsi="Symbol" w:hint="default"/>
      </w:rPr>
    </w:lvl>
  </w:abstractNum>
  <w:abstractNum w:abstractNumId="2">
    <w:nsid w:val="660A5B41"/>
    <w:multiLevelType w:val="hybridMultilevel"/>
    <w:tmpl w:val="783867A2"/>
    <w:lvl w:ilvl="0" w:tplc="3FC86176">
      <w:numFmt w:val="bullet"/>
      <w:lvlText w:val="-"/>
      <w:lvlJc w:val="left"/>
      <w:pPr>
        <w:ind w:left="720" w:hanging="360"/>
      </w:pPr>
      <w:rPr>
        <w:rFonts w:ascii="Calibri" w:eastAsia="MS Mincho"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FB1C10"/>
    <w:rsid w:val="00050E13"/>
    <w:rsid w:val="002C24BF"/>
    <w:rsid w:val="008521A8"/>
    <w:rsid w:val="009B41CD"/>
    <w:rsid w:val="00AD05EA"/>
    <w:rsid w:val="00DF35E1"/>
    <w:rsid w:val="00FB1C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10"/>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B1C10"/>
    <w:rPr>
      <w:color w:val="0000FF"/>
      <w:u w:val="single"/>
    </w:rPr>
  </w:style>
  <w:style w:type="paragraph" w:styleId="Textodeglobo">
    <w:name w:val="Balloon Text"/>
    <w:basedOn w:val="Normal"/>
    <w:link w:val="TextodegloboCar"/>
    <w:uiPriority w:val="99"/>
    <w:semiHidden/>
    <w:unhideWhenUsed/>
    <w:rsid w:val="00FB1C10"/>
    <w:rPr>
      <w:rFonts w:ascii="Tahoma" w:hAnsi="Tahoma" w:cs="Tahoma"/>
      <w:sz w:val="16"/>
      <w:szCs w:val="16"/>
    </w:rPr>
  </w:style>
  <w:style w:type="character" w:customStyle="1" w:styleId="TextodegloboCar">
    <w:name w:val="Texto de globo Car"/>
    <w:basedOn w:val="Fuentedeprrafopredeter"/>
    <w:link w:val="Textodeglobo"/>
    <w:uiPriority w:val="99"/>
    <w:semiHidden/>
    <w:rsid w:val="00FB1C10"/>
    <w:rPr>
      <w:rFonts w:ascii="Tahoma" w:eastAsia="Times New Roman" w:hAnsi="Tahoma" w:cs="Tahoma"/>
      <w:sz w:val="16"/>
      <w:szCs w:val="16"/>
      <w:lang w:eastAsia="ar-SA"/>
    </w:rPr>
  </w:style>
  <w:style w:type="paragraph" w:styleId="Encabezado">
    <w:name w:val="header"/>
    <w:basedOn w:val="Normal"/>
    <w:link w:val="EncabezadoCar"/>
    <w:uiPriority w:val="99"/>
    <w:semiHidden/>
    <w:unhideWhenUsed/>
    <w:rsid w:val="00FB1C10"/>
    <w:pPr>
      <w:tabs>
        <w:tab w:val="center" w:pos="4252"/>
        <w:tab w:val="right" w:pos="8504"/>
      </w:tabs>
    </w:pPr>
  </w:style>
  <w:style w:type="character" w:customStyle="1" w:styleId="EncabezadoCar">
    <w:name w:val="Encabezado Car"/>
    <w:basedOn w:val="Fuentedeprrafopredeter"/>
    <w:link w:val="Encabezado"/>
    <w:uiPriority w:val="99"/>
    <w:semiHidden/>
    <w:rsid w:val="00FB1C10"/>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semiHidden/>
    <w:unhideWhenUsed/>
    <w:rsid w:val="00FB1C10"/>
    <w:pPr>
      <w:tabs>
        <w:tab w:val="center" w:pos="4252"/>
        <w:tab w:val="right" w:pos="8504"/>
      </w:tabs>
    </w:pPr>
  </w:style>
  <w:style w:type="character" w:customStyle="1" w:styleId="PiedepginaCar">
    <w:name w:val="Pie de página Car"/>
    <w:basedOn w:val="Fuentedeprrafopredeter"/>
    <w:link w:val="Piedepgina"/>
    <w:uiPriority w:val="99"/>
    <w:semiHidden/>
    <w:rsid w:val="00FB1C10"/>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uatea.org" TargetMode="External"/><Relationship Id="rId1" Type="http://schemas.openxmlformats.org/officeDocument/2006/relationships/hyperlink" Target="mailto:suatea@suate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1032</Words>
  <Characters>5680</Characters>
  <Application>Microsoft Office Word</Application>
  <DocSecurity>0</DocSecurity>
  <Lines>47</Lines>
  <Paragraphs>13</Paragraphs>
  <ScaleCrop>false</ScaleCrop>
  <Company>RevolucionUnattended</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cp:lastModifiedBy>
  <cp:revision>4</cp:revision>
  <cp:lastPrinted>2016-01-26T10:45:00Z</cp:lastPrinted>
  <dcterms:created xsi:type="dcterms:W3CDTF">2016-01-26T10:32:00Z</dcterms:created>
  <dcterms:modified xsi:type="dcterms:W3CDTF">2016-01-26T12:21:00Z</dcterms:modified>
</cp:coreProperties>
</file>